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324A9" w:rsidP="005324A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98692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5324A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51</w:t>
            </w:r>
            <w:r w:rsidR="00986928">
              <w:rPr>
                <w:sz w:val="28"/>
              </w:rPr>
              <w:t>/</w:t>
            </w:r>
            <w:r w:rsidR="005324A9">
              <w:rPr>
                <w:sz w:val="28"/>
              </w:rPr>
              <w:t>388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5324A9">
              <w:rPr>
                <w:b/>
                <w:bCs/>
                <w:sz w:val="28"/>
              </w:rPr>
              <w:t>63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5324A9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>Исключить</w:t>
      </w:r>
      <w:r w:rsidRPr="005324A9">
        <w:t xml:space="preserve"> </w:t>
      </w:r>
      <w:r w:rsidRPr="00392EDB">
        <w:t>из состава участковой избирательной комиссии избирательного участка № 5</w:t>
      </w:r>
      <w:r>
        <w:t>63:</w:t>
      </w:r>
    </w:p>
    <w:p w:rsidR="002A4E9D" w:rsidRDefault="005324A9" w:rsidP="005324A9">
      <w:pPr>
        <w:pStyle w:val="a7"/>
        <w:spacing w:line="276" w:lineRule="auto"/>
        <w:ind w:left="0" w:firstLine="709"/>
      </w:pPr>
      <w:proofErr w:type="spellStart"/>
      <w:r>
        <w:t>Сандакову</w:t>
      </w:r>
      <w:proofErr w:type="spellEnd"/>
      <w:r>
        <w:t xml:space="preserve"> Ольгу Владимировну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r>
        <w:t>представительным органом муниципального образования;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t>Лопатину Любовь Алексеевну, предложенную собранием избирателей по месту жительства;</w:t>
      </w:r>
    </w:p>
    <w:p w:rsidR="005324A9" w:rsidRDefault="005324A9" w:rsidP="005324A9">
      <w:pPr>
        <w:pStyle w:val="a7"/>
        <w:spacing w:line="276" w:lineRule="auto"/>
        <w:ind w:left="0" w:firstLine="709"/>
      </w:pPr>
      <w:proofErr w:type="spellStart"/>
      <w:r>
        <w:t>Дудырину</w:t>
      </w:r>
      <w:proofErr w:type="spellEnd"/>
      <w:r>
        <w:t xml:space="preserve"> Светлану Аркадьевну, предложенную Кировским региональным отделением Политической партии ЛДПР – Либерально-демократической партии России;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t>Демину Татьяну Васильевну, предложенную собранием избирателей по месту работы.</w:t>
      </w:r>
    </w:p>
    <w:p w:rsidR="005324A9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5324A9">
        <w:t>63: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t>Ломакину Марину Аркадьевну, предложенную собранием избирателей по месту работы, с ее согласия;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t>Ермолову Светлану Ивановну, предложенную собранием избирателей по месту жительства,</w:t>
      </w:r>
      <w:r w:rsidRPr="005324A9">
        <w:t xml:space="preserve"> </w:t>
      </w:r>
      <w:r>
        <w:t>с ее согласия;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t>Хорошавину Ольгу Михайловну, предложенную собранием избирателей по месту работы, с ее согласия;</w:t>
      </w:r>
    </w:p>
    <w:p w:rsidR="005324A9" w:rsidRDefault="005324A9" w:rsidP="005324A9">
      <w:pPr>
        <w:pStyle w:val="a7"/>
        <w:spacing w:line="276" w:lineRule="auto"/>
        <w:ind w:left="0" w:firstLine="709"/>
      </w:pPr>
      <w:proofErr w:type="spellStart"/>
      <w:r>
        <w:t>Разумову</w:t>
      </w:r>
      <w:proofErr w:type="spellEnd"/>
      <w:r>
        <w:t xml:space="preserve"> Людмилу Ивановну, предложенную собранием избирателей по месту жительства, с ее согласия;</w:t>
      </w:r>
    </w:p>
    <w:p w:rsidR="005324A9" w:rsidRDefault="005324A9" w:rsidP="005324A9">
      <w:pPr>
        <w:pStyle w:val="a7"/>
        <w:spacing w:line="276" w:lineRule="auto"/>
        <w:ind w:left="0" w:firstLine="709"/>
      </w:pPr>
      <w:r>
        <w:lastRenderedPageBreak/>
        <w:t>Гребневу Галину Ильиничну, предложенную собранием избирателей по месту жительства, с ее согласия.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5324A9">
        <w:t>63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2021-07-19T12:14:00Z</cp:lastPrinted>
  <dcterms:created xsi:type="dcterms:W3CDTF">2022-08-22T13:27:00Z</dcterms:created>
  <dcterms:modified xsi:type="dcterms:W3CDTF">2022-08-22T13:27:00Z</dcterms:modified>
</cp:coreProperties>
</file>